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2020</w:t>
      </w:r>
      <w:r w:rsidR="005C0608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год</w:t>
      </w:r>
      <w:r w:rsidR="00C078B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28.03</w:t>
      </w:r>
      <w:r w:rsidR="0006493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.20</w:t>
      </w:r>
      <w:r w:rsidR="00C078BF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 – 30.10.2</w:t>
      </w:r>
      <w:r w:rsidR="00064939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0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895"/>
        <w:gridCol w:w="4678"/>
        <w:gridCol w:w="1418"/>
        <w:gridCol w:w="1700"/>
        <w:gridCol w:w="1667"/>
        <w:gridCol w:w="2666"/>
      </w:tblGrid>
      <w:tr w:rsidR="004700B1" w:rsidRPr="00181EE5" w:rsidTr="003C6EBC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spellStart"/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1EE5">
              <w:rPr>
                <w:rFonts w:ascii="Times New Roman" w:hAnsi="Times New Roman" w:cs="Times New Roman"/>
              </w:rPr>
              <w:t>/</w:t>
            </w:r>
            <w:proofErr w:type="spellStart"/>
            <w:r w:rsidRPr="00181EE5">
              <w:rPr>
                <w:rFonts w:ascii="Times New Roman" w:hAnsi="Times New Roman" w:cs="Times New Roman"/>
              </w:rPr>
              <w:t>п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15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4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6EBC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Класс</w:t>
            </w:r>
          </w:p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  аэропорта </w:t>
            </w:r>
          </w:p>
        </w:tc>
        <w:tc>
          <w:tcPr>
            <w:tcW w:w="5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5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 xml:space="preserve">Объем  грузовых  перевозок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3C6EBC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3C6EBC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6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F77D18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78">
              <w:rPr>
                <w:rFonts w:ascii="Times New Roman" w:hAnsi="Times New Roman" w:cs="Times New Roman"/>
              </w:rPr>
              <w:t>А</w:t>
            </w:r>
            <w:r w:rsidRPr="00C06B78">
              <w:rPr>
                <w:rFonts w:ascii="Times New Roman" w:hAnsi="Times New Roman" w:cs="Times New Roman"/>
                <w:sz w:val="20"/>
                <w:szCs w:val="20"/>
              </w:rPr>
              <w:t>-319-100(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 xml:space="preserve">70.4т)- 1самолето-вылет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сутки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чением</w:t>
            </w:r>
            <w:r w:rsidR="003C6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F77D18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F77D18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3C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 (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.9т) </w:t>
            </w:r>
            <w:r>
              <w:rPr>
                <w:rFonts w:ascii="Times New Roman" w:hAnsi="Times New Roman"/>
                <w:sz w:val="20"/>
                <w:szCs w:val="20"/>
              </w:rPr>
              <w:t>1самолет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вылет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в сутки с 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огран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и</w:t>
            </w:r>
            <w:r w:rsidRPr="00F77D18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3C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массы 62,6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А-320-200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(73.9т) 1самолето-вылет в сутки с огран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чением</w:t>
            </w:r>
            <w:r w:rsidR="003C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В-737-400(68.27т)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и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3C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(60.78т)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</w:p>
          <w:p w:rsidR="00181EE5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(70.31т)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а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  <w:r w:rsidR="003C6E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В-737-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(79.00т) 4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-вылет в </w:t>
            </w:r>
            <w:r>
              <w:rPr>
                <w:rFonts w:ascii="Times New Roman" w:hAnsi="Times New Roman"/>
                <w:sz w:val="20"/>
                <w:szCs w:val="20"/>
              </w:rPr>
              <w:t>неделю без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ения по массе и 9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-вылет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неделю с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  массы  77,7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5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3C228E" w:rsidRDefault="003C228E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C228E">
              <w:rPr>
                <w:rFonts w:ascii="Times New Roman" w:hAnsi="Times New Roman" w:cs="Times New Roman"/>
                <w:b/>
              </w:rPr>
              <w:t>199,5</w:t>
            </w:r>
          </w:p>
        </w:tc>
        <w:tc>
          <w:tcPr>
            <w:tcW w:w="55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3C228E" w:rsidRDefault="002B746A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3C6EBC" w:rsidRDefault="003C6EBC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078BF" w:rsidRDefault="00C078BF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078BF" w:rsidRDefault="00C078BF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(взл.-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611E43" w:rsidRPr="005F0626" w:rsidRDefault="00611E43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A23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Pr="002A23C3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Pr="002A23C3">
              <w:rPr>
                <w:rFonts w:ascii="Times New Roman" w:hAnsi="Times New Roman" w:cs="Times New Roman"/>
                <w:lang w:val="en-US"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МС</w:t>
            </w:r>
            <w:r w:rsidRPr="002A23C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A23C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2A23C3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2A23C3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304D8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91561C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2B746A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436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872796" w:rsidRDefault="00872796" w:rsidP="00872796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872796" w:rsidRDefault="00872796" w:rsidP="00872796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8727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872796" w:rsidRDefault="00872796" w:rsidP="00872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8727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8727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87279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8727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87279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64939"/>
    <w:rsid w:val="000A0D7F"/>
    <w:rsid w:val="000A49A8"/>
    <w:rsid w:val="000B763E"/>
    <w:rsid w:val="000D5E1C"/>
    <w:rsid w:val="000F2EF3"/>
    <w:rsid w:val="00181EE5"/>
    <w:rsid w:val="00184F72"/>
    <w:rsid w:val="001A0257"/>
    <w:rsid w:val="001A4361"/>
    <w:rsid w:val="001B502A"/>
    <w:rsid w:val="00270DA9"/>
    <w:rsid w:val="00292944"/>
    <w:rsid w:val="002A23C3"/>
    <w:rsid w:val="002B746A"/>
    <w:rsid w:val="002C00DB"/>
    <w:rsid w:val="002E2D24"/>
    <w:rsid w:val="002F5FEA"/>
    <w:rsid w:val="00304D8E"/>
    <w:rsid w:val="003320E1"/>
    <w:rsid w:val="00372391"/>
    <w:rsid w:val="00382A6B"/>
    <w:rsid w:val="00394068"/>
    <w:rsid w:val="003C228E"/>
    <w:rsid w:val="003C698E"/>
    <w:rsid w:val="003C6EBC"/>
    <w:rsid w:val="00417490"/>
    <w:rsid w:val="00435CF9"/>
    <w:rsid w:val="004545CC"/>
    <w:rsid w:val="004700B1"/>
    <w:rsid w:val="00493BB4"/>
    <w:rsid w:val="004B13B6"/>
    <w:rsid w:val="00502B4B"/>
    <w:rsid w:val="0053716D"/>
    <w:rsid w:val="00570C8D"/>
    <w:rsid w:val="0059189E"/>
    <w:rsid w:val="005A4E41"/>
    <w:rsid w:val="005B64B5"/>
    <w:rsid w:val="005C0608"/>
    <w:rsid w:val="005F0626"/>
    <w:rsid w:val="00611E43"/>
    <w:rsid w:val="00623724"/>
    <w:rsid w:val="00625E5B"/>
    <w:rsid w:val="00637AAC"/>
    <w:rsid w:val="00697E65"/>
    <w:rsid w:val="006C1D9F"/>
    <w:rsid w:val="00713D09"/>
    <w:rsid w:val="007756C5"/>
    <w:rsid w:val="008056AC"/>
    <w:rsid w:val="00872796"/>
    <w:rsid w:val="008A3553"/>
    <w:rsid w:val="008B52EC"/>
    <w:rsid w:val="008F3AF9"/>
    <w:rsid w:val="00911FC7"/>
    <w:rsid w:val="0091561C"/>
    <w:rsid w:val="00972BB0"/>
    <w:rsid w:val="009A512B"/>
    <w:rsid w:val="00A06865"/>
    <w:rsid w:val="00A21490"/>
    <w:rsid w:val="00A82F4A"/>
    <w:rsid w:val="00A96B97"/>
    <w:rsid w:val="00AA7AE8"/>
    <w:rsid w:val="00AF3D6A"/>
    <w:rsid w:val="00B01432"/>
    <w:rsid w:val="00B278E9"/>
    <w:rsid w:val="00B517F6"/>
    <w:rsid w:val="00B73FF9"/>
    <w:rsid w:val="00B913A5"/>
    <w:rsid w:val="00B94089"/>
    <w:rsid w:val="00BD5C31"/>
    <w:rsid w:val="00C06B78"/>
    <w:rsid w:val="00C078BF"/>
    <w:rsid w:val="00C13E58"/>
    <w:rsid w:val="00C14882"/>
    <w:rsid w:val="00CA55F0"/>
    <w:rsid w:val="00CE5C41"/>
    <w:rsid w:val="00CF47B9"/>
    <w:rsid w:val="00D436B0"/>
    <w:rsid w:val="00D56B84"/>
    <w:rsid w:val="00D760F5"/>
    <w:rsid w:val="00D85AA7"/>
    <w:rsid w:val="00DC44B8"/>
    <w:rsid w:val="00E06760"/>
    <w:rsid w:val="00E6757F"/>
    <w:rsid w:val="00E7751D"/>
    <w:rsid w:val="00E931F1"/>
    <w:rsid w:val="00EC3FE1"/>
    <w:rsid w:val="00F06412"/>
    <w:rsid w:val="00F40960"/>
    <w:rsid w:val="00F54FE0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5942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16</cp:revision>
  <cp:lastPrinted>2012-09-13T13:58:00Z</cp:lastPrinted>
  <dcterms:created xsi:type="dcterms:W3CDTF">2020-12-23T06:25:00Z</dcterms:created>
  <dcterms:modified xsi:type="dcterms:W3CDTF">2022-02-17T06:42:00Z</dcterms:modified>
</cp:coreProperties>
</file>