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23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C041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="002A23C3"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20</w:t>
      </w:r>
      <w:r w:rsidR="00C50395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(25.10.20  - </w:t>
      </w:r>
      <w:r w:rsidR="005C0608"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C50395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27.03.21)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9"/>
        <w:gridCol w:w="1469"/>
        <w:gridCol w:w="4252"/>
        <w:gridCol w:w="1304"/>
        <w:gridCol w:w="2099"/>
        <w:gridCol w:w="2234"/>
        <w:gridCol w:w="2666"/>
      </w:tblGrid>
      <w:tr w:rsidR="004700B1" w:rsidRPr="00181EE5" w:rsidTr="000F3133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spellStart"/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EE5">
              <w:rPr>
                <w:rFonts w:ascii="Times New Roman" w:hAnsi="Times New Roman" w:cs="Times New Roman"/>
              </w:rPr>
              <w:t>/</w:t>
            </w:r>
            <w:proofErr w:type="spell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Класс  аэродр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4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Ограничения по типам  принимаемых судов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Класс  аэр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 xml:space="preserve">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0F3133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F3133">
        <w:trPr>
          <w:trHeight w:val="1152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F77D18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78">
              <w:rPr>
                <w:rFonts w:ascii="Times New Roman" w:hAnsi="Times New Roman" w:cs="Times New Roman"/>
              </w:rPr>
              <w:t>А</w:t>
            </w:r>
            <w:r w:rsidRPr="00C06B78">
              <w:rPr>
                <w:rFonts w:ascii="Times New Roman" w:hAnsi="Times New Roman" w:cs="Times New Roman"/>
                <w:sz w:val="20"/>
                <w:szCs w:val="20"/>
              </w:rPr>
              <w:t>-319-100(</w:t>
            </w: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  <w:r w:rsidR="00C81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 xml:space="preserve">т)- 1самолето-вылет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сутки с ограничением</w:t>
            </w:r>
            <w:r w:rsidR="000F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 w:cs="Times New Roman"/>
                <w:b/>
                <w:sz w:val="20"/>
                <w:szCs w:val="20"/>
              </w:rPr>
              <w:t>64.6</w:t>
            </w:r>
            <w:r w:rsidR="00C81B65" w:rsidRPr="00C81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1B6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77D18" w:rsidRPr="00F77D18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F77D18">
              <w:rPr>
                <w:rFonts w:ascii="Times New Roman" w:hAnsi="Times New Roman"/>
                <w:sz w:val="20"/>
                <w:szCs w:val="20"/>
              </w:rPr>
              <w:t>А-319-100(75.9</w:t>
            </w:r>
            <w:r w:rsidR="00C8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т) 1самолето-вылет в сутки 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0F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64.0</w:t>
            </w:r>
            <w:r w:rsidR="00C81B65" w:rsidRPr="00C81B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А-320-200 (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.9</w:t>
            </w:r>
            <w:r w:rsidR="00C8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т) </w:t>
            </w:r>
            <w:r>
              <w:rPr>
                <w:rFonts w:ascii="Times New Roman" w:hAnsi="Times New Roman"/>
                <w:sz w:val="20"/>
                <w:szCs w:val="20"/>
              </w:rPr>
              <w:t>1самолет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вылет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в сутки с 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0F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62,6</w:t>
            </w:r>
            <w:r w:rsidR="00C81B65" w:rsidRPr="00C81B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А-320-200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(73.9</w:t>
            </w:r>
            <w:r w:rsidR="00C8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т) 1самолето-вылет в сутки с ограничением</w:t>
            </w:r>
            <w:r w:rsidR="000F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66.3</w:t>
            </w:r>
            <w:r w:rsidR="00C81B65" w:rsidRPr="00C81B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81B65" w:rsidRPr="00C81B65" w:rsidRDefault="00C81B65" w:rsidP="00C81B65">
            <w:pPr>
              <w:rPr>
                <w:rFonts w:ascii="Times New Roman" w:hAnsi="Times New Roman"/>
                <w:sz w:val="20"/>
                <w:szCs w:val="20"/>
              </w:rPr>
            </w:pPr>
            <w:r w:rsidRPr="00C81B65">
              <w:rPr>
                <w:rFonts w:ascii="Times New Roman" w:hAnsi="Times New Roman"/>
                <w:sz w:val="20"/>
                <w:szCs w:val="20"/>
              </w:rPr>
              <w:t xml:space="preserve">А-320-200 (77.4 т) </w:t>
            </w:r>
            <w:proofErr w:type="spellStart"/>
            <w:proofErr w:type="gramStart"/>
            <w:r w:rsidRPr="00C81B65">
              <w:rPr>
                <w:rFonts w:ascii="Times New Roman" w:hAnsi="Times New Roman"/>
                <w:sz w:val="20"/>
                <w:szCs w:val="20"/>
              </w:rPr>
              <w:t>самолето-вылет</w:t>
            </w:r>
            <w:proofErr w:type="spellEnd"/>
            <w:proofErr w:type="gramEnd"/>
            <w:r w:rsidRPr="00C81B65">
              <w:rPr>
                <w:rFonts w:ascii="Times New Roman" w:hAnsi="Times New Roman"/>
                <w:sz w:val="20"/>
                <w:szCs w:val="20"/>
              </w:rPr>
              <w:t xml:space="preserve"> в сутки с </w:t>
            </w:r>
            <w:proofErr w:type="spellStart"/>
            <w:r w:rsidRPr="00C81B65">
              <w:rPr>
                <w:rFonts w:ascii="Times New Roman" w:hAnsi="Times New Roman"/>
                <w:sz w:val="20"/>
                <w:szCs w:val="20"/>
              </w:rPr>
              <w:t>о</w:t>
            </w:r>
            <w:r w:rsidRPr="00C81B65">
              <w:rPr>
                <w:rFonts w:ascii="Times New Roman" w:hAnsi="Times New Roman"/>
                <w:sz w:val="20"/>
                <w:szCs w:val="20"/>
              </w:rPr>
              <w:t>г</w:t>
            </w:r>
            <w:r w:rsidRPr="00C81B65">
              <w:rPr>
                <w:rFonts w:ascii="Times New Roman" w:hAnsi="Times New Roman"/>
                <w:sz w:val="20"/>
                <w:szCs w:val="20"/>
              </w:rPr>
              <w:t>ранич</w:t>
            </w:r>
            <w:proofErr w:type="spellEnd"/>
            <w:r w:rsidRPr="00C81B65">
              <w:rPr>
                <w:rFonts w:ascii="Times New Roman" w:hAnsi="Times New Roman"/>
                <w:sz w:val="20"/>
                <w:szCs w:val="20"/>
              </w:rPr>
              <w:t>.</w:t>
            </w:r>
            <w:r w:rsidR="000F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B65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61.9 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В-737-400(68.27т)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0F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61т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(60.78т)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</w:p>
          <w:p w:rsidR="00181EE5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(70.31т)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0F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64т</w:t>
            </w:r>
          </w:p>
          <w:p w:rsidR="002A23C3" w:rsidRPr="00181EE5" w:rsidRDefault="002A23C3" w:rsidP="002A23C3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(79.00т) 4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-вылет в </w:t>
            </w:r>
            <w:r>
              <w:rPr>
                <w:rFonts w:ascii="Times New Roman" w:hAnsi="Times New Roman"/>
                <w:sz w:val="20"/>
                <w:szCs w:val="20"/>
              </w:rPr>
              <w:t>неделю без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ения по массе и 9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-вылет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неделю с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огранич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ением  массы  </w:t>
            </w:r>
            <w:r w:rsidRPr="00C81B65">
              <w:rPr>
                <w:rFonts w:ascii="Times New Roman" w:hAnsi="Times New Roman"/>
                <w:b/>
                <w:sz w:val="20"/>
                <w:szCs w:val="20"/>
              </w:rPr>
              <w:t>77,7т</w:t>
            </w:r>
          </w:p>
        </w:tc>
        <w:tc>
          <w:tcPr>
            <w:tcW w:w="43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74AE0" w:rsidRDefault="00C81B65" w:rsidP="003723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574AE0">
              <w:rPr>
                <w:rFonts w:ascii="Times New Roman" w:hAnsi="Times New Roman" w:cs="Times New Roman"/>
                <w:b/>
              </w:rPr>
              <w:t>174,2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74AE0" w:rsidRDefault="004A401E" w:rsidP="000A0D7F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626">
              <w:rPr>
                <w:rFonts w:ascii="Times New Roman" w:hAnsi="Times New Roman" w:cs="Times New Roman"/>
              </w:rPr>
              <w:t>/</w:t>
            </w:r>
            <w:proofErr w:type="spell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</w:t>
            </w:r>
            <w:proofErr w:type="spellStart"/>
            <w:r w:rsidRPr="005F0626">
              <w:rPr>
                <w:rFonts w:ascii="Times New Roman" w:hAnsi="Times New Roman" w:cs="Times New Roman"/>
              </w:rPr>
              <w:t>взл</w:t>
            </w:r>
            <w:proofErr w:type="spellEnd"/>
            <w:r w:rsidRPr="005F0626">
              <w:rPr>
                <w:rFonts w:ascii="Times New Roman" w:hAnsi="Times New Roman" w:cs="Times New Roman"/>
              </w:rPr>
              <w:t>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взл.-пос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F96E6B" w:rsidRPr="005F0626" w:rsidRDefault="00F96E6B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A23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2A23C3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2A23C3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2A23C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A23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2A23C3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2A23C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BF200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21C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96E6B" w:rsidRPr="00CF47B9" w:rsidRDefault="00F96E6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0F313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A4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FF7B1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3C186E" w:rsidRDefault="003C186E" w:rsidP="003C186E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3C186E" w:rsidRDefault="003C186E" w:rsidP="003C186E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3C186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3C186E" w:rsidRDefault="003C186E" w:rsidP="003C18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3C186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3C186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3C186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3C186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3C186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763E"/>
    <w:rsid w:val="000D5E1C"/>
    <w:rsid w:val="000F2EF3"/>
    <w:rsid w:val="000F3133"/>
    <w:rsid w:val="00181EE5"/>
    <w:rsid w:val="00184F72"/>
    <w:rsid w:val="001A0257"/>
    <w:rsid w:val="001B502A"/>
    <w:rsid w:val="00222DF4"/>
    <w:rsid w:val="00270DA9"/>
    <w:rsid w:val="00292944"/>
    <w:rsid w:val="002A23C3"/>
    <w:rsid w:val="002C00DB"/>
    <w:rsid w:val="0032742E"/>
    <w:rsid w:val="003320E1"/>
    <w:rsid w:val="0034756B"/>
    <w:rsid w:val="00372391"/>
    <w:rsid w:val="00382A6B"/>
    <w:rsid w:val="003B6F3D"/>
    <w:rsid w:val="003C186E"/>
    <w:rsid w:val="003C698E"/>
    <w:rsid w:val="00417490"/>
    <w:rsid w:val="00435CF9"/>
    <w:rsid w:val="004545CC"/>
    <w:rsid w:val="004700B1"/>
    <w:rsid w:val="004A401E"/>
    <w:rsid w:val="004B13B6"/>
    <w:rsid w:val="004D4E8C"/>
    <w:rsid w:val="00502B4B"/>
    <w:rsid w:val="0053716D"/>
    <w:rsid w:val="00570C8D"/>
    <w:rsid w:val="00574AE0"/>
    <w:rsid w:val="0059189E"/>
    <w:rsid w:val="005A4E41"/>
    <w:rsid w:val="005B64B5"/>
    <w:rsid w:val="005C0608"/>
    <w:rsid w:val="005F0626"/>
    <w:rsid w:val="00623724"/>
    <w:rsid w:val="00637AAC"/>
    <w:rsid w:val="00697E65"/>
    <w:rsid w:val="006C1D9F"/>
    <w:rsid w:val="00701582"/>
    <w:rsid w:val="00713D09"/>
    <w:rsid w:val="00751C39"/>
    <w:rsid w:val="007756C5"/>
    <w:rsid w:val="008056AC"/>
    <w:rsid w:val="008459F7"/>
    <w:rsid w:val="008724EB"/>
    <w:rsid w:val="008A3553"/>
    <w:rsid w:val="008F3AF9"/>
    <w:rsid w:val="00911FC7"/>
    <w:rsid w:val="00972BB0"/>
    <w:rsid w:val="00974551"/>
    <w:rsid w:val="00A06865"/>
    <w:rsid w:val="00A21490"/>
    <w:rsid w:val="00A43EB6"/>
    <w:rsid w:val="00A82F4A"/>
    <w:rsid w:val="00A96B97"/>
    <w:rsid w:val="00AA7AE8"/>
    <w:rsid w:val="00AF3D6A"/>
    <w:rsid w:val="00B01432"/>
    <w:rsid w:val="00B278E9"/>
    <w:rsid w:val="00B517F6"/>
    <w:rsid w:val="00B73FF9"/>
    <w:rsid w:val="00B913A5"/>
    <w:rsid w:val="00B94089"/>
    <w:rsid w:val="00BB6C44"/>
    <w:rsid w:val="00BD521C"/>
    <w:rsid w:val="00BD5C31"/>
    <w:rsid w:val="00BF200B"/>
    <w:rsid w:val="00C06B78"/>
    <w:rsid w:val="00C13E58"/>
    <w:rsid w:val="00C14882"/>
    <w:rsid w:val="00C50395"/>
    <w:rsid w:val="00C81B65"/>
    <w:rsid w:val="00CA55F0"/>
    <w:rsid w:val="00CC0410"/>
    <w:rsid w:val="00CE5C41"/>
    <w:rsid w:val="00CF47B9"/>
    <w:rsid w:val="00D06B15"/>
    <w:rsid w:val="00D436B0"/>
    <w:rsid w:val="00D56B84"/>
    <w:rsid w:val="00D760F5"/>
    <w:rsid w:val="00D85AA7"/>
    <w:rsid w:val="00E06760"/>
    <w:rsid w:val="00E662CE"/>
    <w:rsid w:val="00E6757F"/>
    <w:rsid w:val="00E929A6"/>
    <w:rsid w:val="00E931F1"/>
    <w:rsid w:val="00F40960"/>
    <w:rsid w:val="00F54FE0"/>
    <w:rsid w:val="00F77D18"/>
    <w:rsid w:val="00F946D9"/>
    <w:rsid w:val="00F96E6B"/>
    <w:rsid w:val="00FC1CA5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C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545C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545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545C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5C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545C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545C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45CC"/>
    <w:pPr>
      <w:jc w:val="both"/>
    </w:pPr>
  </w:style>
  <w:style w:type="character" w:customStyle="1" w:styleId="a8">
    <w:name w:val="Выделение для Базового Поиска"/>
    <w:uiPriority w:val="99"/>
    <w:rsid w:val="004545C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545C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545C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545C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5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45C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545C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545C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45C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545CC"/>
  </w:style>
  <w:style w:type="paragraph" w:customStyle="1" w:styleId="af1">
    <w:name w:val="Заголовок статьи"/>
    <w:basedOn w:val="a"/>
    <w:next w:val="a"/>
    <w:uiPriority w:val="99"/>
    <w:rsid w:val="004545C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545C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545C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545C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545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545C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545C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545C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545CC"/>
  </w:style>
  <w:style w:type="paragraph" w:customStyle="1" w:styleId="afa">
    <w:name w:val="Колонтитул (левый)"/>
    <w:basedOn w:val="af9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545C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545C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545C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545C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545C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545C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545CC"/>
    <w:pPr>
      <w:jc w:val="both"/>
    </w:pPr>
  </w:style>
  <w:style w:type="paragraph" w:customStyle="1" w:styleId="aff4">
    <w:name w:val="Объект"/>
    <w:basedOn w:val="a"/>
    <w:next w:val="a"/>
    <w:uiPriority w:val="99"/>
    <w:rsid w:val="004545C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545C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545C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545C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545C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545C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545C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545CC"/>
  </w:style>
  <w:style w:type="paragraph" w:customStyle="1" w:styleId="affe">
    <w:name w:val="Пример."/>
    <w:basedOn w:val="a"/>
    <w:next w:val="a"/>
    <w:uiPriority w:val="99"/>
    <w:rsid w:val="004545C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545C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545CC"/>
  </w:style>
  <w:style w:type="paragraph" w:customStyle="1" w:styleId="afff1">
    <w:name w:val="Словарная статья"/>
    <w:basedOn w:val="a"/>
    <w:next w:val="a"/>
    <w:uiPriority w:val="99"/>
    <w:rsid w:val="004545C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545CC"/>
  </w:style>
  <w:style w:type="character" w:customStyle="1" w:styleId="afff3">
    <w:name w:val="Сравнение редакций. Добавленный фрагмент"/>
    <w:uiPriority w:val="99"/>
    <w:rsid w:val="004545C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545C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545C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545C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545CC"/>
    <w:rPr>
      <w:shd w:val="clear" w:color="auto" w:fill="FFFF00"/>
    </w:rPr>
  </w:style>
  <w:style w:type="character" w:customStyle="1" w:styleId="afff8">
    <w:name w:val="Утратил силу"/>
    <w:uiPriority w:val="99"/>
    <w:rsid w:val="004545C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545C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C0608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C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6010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2012-09-13T13:58:00Z</cp:lastPrinted>
  <dcterms:created xsi:type="dcterms:W3CDTF">2021-03-22T08:01:00Z</dcterms:created>
  <dcterms:modified xsi:type="dcterms:W3CDTF">2022-02-17T06:41:00Z</dcterms:modified>
</cp:coreProperties>
</file>